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A23D" w14:textId="2C015F8F" w:rsidR="009622B2" w:rsidRPr="009622B2" w:rsidRDefault="001C37E3" w:rsidP="009622B2">
      <w:pPr>
        <w:spacing w:after="0" w:line="240" w:lineRule="auto"/>
        <w:rPr>
          <w:rFonts w:cs="Calibri"/>
          <w:b/>
          <w:bCs/>
          <w:u w:val="single"/>
        </w:rPr>
      </w:pPr>
      <w:r w:rsidRPr="009622B2">
        <w:rPr>
          <w:rFonts w:cs="Calibri"/>
          <w:b/>
          <w:bCs/>
          <w:u w:val="single"/>
        </w:rPr>
        <w:t>Comparing the House and Senate approaches to Reconciliation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269"/>
        <w:gridCol w:w="2965"/>
      </w:tblGrid>
      <w:tr w:rsidR="001C37E3" w:rsidRPr="009622B2" w14:paraId="7720D400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06463F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1AE62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House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BDB18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Senate</w:t>
            </w:r>
          </w:p>
        </w:tc>
      </w:tr>
      <w:tr w:rsidR="001C37E3" w:rsidRPr="009622B2" w14:paraId="1153014E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1EB40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One bill or two?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ADBA1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One. </w:t>
            </w:r>
            <w:r w:rsidRPr="009622B2">
              <w:rPr>
                <w:rFonts w:cs="Calibri"/>
              </w:rPr>
              <w:br/>
            </w:r>
          </w:p>
          <w:p w14:paraId="1AA8801D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Speaker Johnson wants to move the entire agenda through “one big, beautiful bill” because with such a slim House majority, he fears that he only gets one bite at the apple to have his caucus vote on something that may be a tough vote. 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79D18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Two.</w:t>
            </w:r>
            <w:r w:rsidRPr="009622B2">
              <w:rPr>
                <w:rFonts w:cs="Calibri"/>
              </w:rPr>
              <w:br/>
            </w:r>
          </w:p>
          <w:p w14:paraId="4F628346" w14:textId="0D9C670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Majority Leader Thune believes it will be easier to get a quick win on some Trump priorities by splitting the agenda in half, using the first bill to move the “easier” parts of the agenda (immigration enforcement, additional defense spending, </w:t>
            </w:r>
            <w:proofErr w:type="gramStart"/>
            <w:r w:rsidRPr="009622B2">
              <w:rPr>
                <w:rFonts w:cs="Calibri"/>
              </w:rPr>
              <w:t>oil</w:t>
            </w:r>
            <w:proofErr w:type="gramEnd"/>
            <w:r w:rsidRPr="009622B2">
              <w:rPr>
                <w:rFonts w:cs="Calibri"/>
              </w:rPr>
              <w:t xml:space="preserve"> and gas exploration) and hashing out taxes later.</w:t>
            </w:r>
            <w:r w:rsidR="009622B2">
              <w:rPr>
                <w:rFonts w:cs="Calibri"/>
              </w:rPr>
              <w:t xml:space="preserve"> </w:t>
            </w:r>
            <w:r w:rsidRPr="009622B2">
              <w:rPr>
                <w:rFonts w:cs="Calibri"/>
              </w:rPr>
              <w:t xml:space="preserve">THAT MEANS THE BELOW CUTS ARE JUST THE FIRST SWIPE. </w:t>
            </w:r>
          </w:p>
        </w:tc>
      </w:tr>
      <w:tr w:rsidR="001C37E3" w:rsidRPr="009622B2" w14:paraId="199C47C2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5BDE4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 xml:space="preserve">Timing of Step One, </w:t>
            </w:r>
            <w:r w:rsidRPr="009622B2">
              <w:rPr>
                <w:rFonts w:cs="Calibri"/>
                <w:b/>
                <w:bCs/>
              </w:rPr>
              <w:br/>
              <w:t>FY25 Budget Resolution in Budget Committee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32A247" w14:textId="4B28B714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The House Budget Committee mark</w:t>
            </w:r>
            <w:r w:rsidR="009622B2" w:rsidRPr="009622B2">
              <w:rPr>
                <w:rFonts w:cs="Calibri"/>
              </w:rPr>
              <w:t xml:space="preserve">ed </w:t>
            </w:r>
            <w:r w:rsidRPr="009622B2">
              <w:rPr>
                <w:rFonts w:cs="Calibri"/>
              </w:rPr>
              <w:t>up their FY2025 budget resolution on Feb. 13, 2025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85E73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The Senate Budget Committee marked up their FY2025 budget resolution on Feb. 12, 2025. </w:t>
            </w:r>
          </w:p>
        </w:tc>
      </w:tr>
      <w:tr w:rsidR="001C37E3" w:rsidRPr="009622B2" w14:paraId="2965D678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79991F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 xml:space="preserve">Timing of Step Two, </w:t>
            </w:r>
            <w:r w:rsidRPr="009622B2">
              <w:rPr>
                <w:rFonts w:cs="Calibri"/>
                <w:b/>
                <w:bCs/>
              </w:rPr>
              <w:br/>
              <w:t>FY25 Budget Resolution on the Chamber Floor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40438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The House is in recess the week of Feb. 17, so floor consideration is expected the week of Feb. 24.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2968A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The Senate is aiming for floor consideration as soon as the week of Feb. 17. </w:t>
            </w:r>
          </w:p>
        </w:tc>
      </w:tr>
      <w:tr w:rsidR="001C37E3" w:rsidRPr="009622B2" w14:paraId="182EA5D8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1851F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Timing of Step Three,</w:t>
            </w:r>
          </w:p>
          <w:p w14:paraId="60BCD3B2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  <w:b/>
                <w:bCs/>
              </w:rPr>
              <w:t>Writing the Reconciliation bill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240E9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The various committees of jurisdiction have a </w:t>
            </w:r>
            <w:r w:rsidRPr="009622B2">
              <w:rPr>
                <w:rFonts w:cs="Calibri"/>
                <w:u w:val="single"/>
              </w:rPr>
              <w:t>March 27</w:t>
            </w:r>
            <w:r w:rsidRPr="009622B2">
              <w:rPr>
                <w:rFonts w:cs="Calibri"/>
              </w:rPr>
              <w:t xml:space="preserve"> deadline to fill in the details of their cuts/spending for inclusion in the reconciliation bill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0FE0B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The various committees of jurisdiction have a </w:t>
            </w:r>
            <w:r w:rsidRPr="009622B2">
              <w:rPr>
                <w:rFonts w:cs="Calibri"/>
                <w:u w:val="single"/>
              </w:rPr>
              <w:t>March 7</w:t>
            </w:r>
            <w:r w:rsidRPr="009622B2">
              <w:rPr>
                <w:rFonts w:cs="Calibri"/>
              </w:rPr>
              <w:t xml:space="preserve"> deadline to fill in the details of their cuts/spending for inclusion in the reconciliation bill</w:t>
            </w:r>
          </w:p>
        </w:tc>
      </w:tr>
      <w:tr w:rsidR="001C37E3" w:rsidRPr="009622B2" w14:paraId="5795B1D9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9D0BA3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What’s included:</w:t>
            </w:r>
            <w:r w:rsidRPr="009622B2">
              <w:rPr>
                <w:rFonts w:cs="Calibri"/>
                <w:b/>
                <w:bCs/>
              </w:rPr>
              <w:br/>
              <w:t>Medicaid Cuts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D44096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$880 Billion in cuts to Medicaid.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BE8232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TBD. The resolution calls for “at least” $1 Billion.</w:t>
            </w:r>
          </w:p>
        </w:tc>
      </w:tr>
      <w:tr w:rsidR="001C37E3" w:rsidRPr="009622B2" w14:paraId="28D47457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4AB13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What’s included:</w:t>
            </w:r>
            <w:r w:rsidRPr="009622B2">
              <w:rPr>
                <w:rFonts w:cs="Calibri"/>
                <w:b/>
                <w:bCs/>
              </w:rPr>
              <w:br/>
              <w:t xml:space="preserve">Education Cuts 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3B832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$330 Billion from student loans (making repayment more expensive, repealing protection for scammed students, etc. May include limits on PSLF and making colleges pay fees)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E03CC" w14:textId="74045706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TBD. The resolution calls for “at least” $1 Billion – but reporting indicates likely to be $260 billion from student loans (making repayment more expensive and </w:t>
            </w:r>
            <w:r w:rsidRPr="009622B2">
              <w:rPr>
                <w:rFonts w:cs="Calibri"/>
              </w:rPr>
              <w:lastRenderedPageBreak/>
              <w:t>repealing protection for scammed students, etc</w:t>
            </w:r>
            <w:r w:rsidR="009622B2" w:rsidRPr="009622B2">
              <w:rPr>
                <w:rFonts w:cs="Calibri"/>
              </w:rPr>
              <w:t>.</w:t>
            </w:r>
            <w:r w:rsidRPr="009622B2">
              <w:rPr>
                <w:rFonts w:cs="Calibri"/>
              </w:rPr>
              <w:t>)</w:t>
            </w:r>
          </w:p>
        </w:tc>
      </w:tr>
      <w:tr w:rsidR="001C37E3" w:rsidRPr="009622B2" w14:paraId="09DEEF22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FEF2A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lastRenderedPageBreak/>
              <w:t>What’s included:</w:t>
            </w:r>
            <w:r w:rsidRPr="009622B2">
              <w:rPr>
                <w:rFonts w:cs="Calibri"/>
                <w:b/>
                <w:bCs/>
              </w:rPr>
              <w:br/>
              <w:t>SNAP Cuts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71BFD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$230 Billion cut from SNAP (food stamps)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98ACE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TBD. The resolution calls for “at least” $1 Billion.</w:t>
            </w:r>
          </w:p>
        </w:tc>
      </w:tr>
      <w:tr w:rsidR="001C37E3" w:rsidRPr="009622B2" w14:paraId="7E40A869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8AD37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What’s included:</w:t>
            </w:r>
            <w:r w:rsidRPr="009622B2">
              <w:rPr>
                <w:rFonts w:cs="Calibri"/>
                <w:b/>
                <w:bCs/>
              </w:rPr>
              <w:br/>
              <w:t>where the money is going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9E3DB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At least $4.5 Trillion for tax cuts – the committee may offset tax cuts with other tax increases (such as the SALT cap).</w:t>
            </w:r>
          </w:p>
          <w:p w14:paraId="7E91D833" w14:textId="77777777" w:rsidR="009622B2" w:rsidRDefault="009622B2" w:rsidP="009622B2">
            <w:pPr>
              <w:spacing w:after="0" w:line="240" w:lineRule="auto"/>
              <w:rPr>
                <w:rFonts w:cs="Calibri"/>
              </w:rPr>
            </w:pPr>
          </w:p>
          <w:p w14:paraId="7F573055" w14:textId="6AA95E41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A K-12 “Tuition Tax Credit” could be a part of this package.</w:t>
            </w:r>
          </w:p>
          <w:p w14:paraId="4EE61CAC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br/>
              <w:t>$200 Billion for immigration/border enforcement ($110 Judiciary and $90 Homeland Security)</w:t>
            </w:r>
            <w:r w:rsidRPr="009622B2">
              <w:rPr>
                <w:rFonts w:cs="Calibri"/>
              </w:rPr>
              <w:br/>
            </w:r>
          </w:p>
          <w:p w14:paraId="62A52523" w14:textId="77777777" w:rsidR="009622B2" w:rsidRDefault="009622B2" w:rsidP="009622B2">
            <w:pPr>
              <w:spacing w:after="0" w:line="240" w:lineRule="auto"/>
              <w:rPr>
                <w:rFonts w:cs="Calibri"/>
              </w:rPr>
            </w:pPr>
          </w:p>
          <w:p w14:paraId="6CE6CC9F" w14:textId="294F4F62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$100 Billion for additional defense spending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4DD4E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(no tax changes in this bill – being saved for next bill)</w:t>
            </w:r>
          </w:p>
          <w:p w14:paraId="05EAE89C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</w:p>
          <w:p w14:paraId="1FEA521C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</w:p>
          <w:p w14:paraId="7B5CC0CE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</w:p>
          <w:p w14:paraId="344F9B90" w14:textId="77777777" w:rsidR="009622B2" w:rsidRDefault="009622B2" w:rsidP="009622B2">
            <w:pPr>
              <w:spacing w:after="0" w:line="240" w:lineRule="auto"/>
              <w:rPr>
                <w:rFonts w:cs="Calibri"/>
              </w:rPr>
            </w:pPr>
          </w:p>
          <w:p w14:paraId="0DCD2A61" w14:textId="77777777" w:rsidR="009622B2" w:rsidRDefault="009622B2" w:rsidP="009622B2">
            <w:pPr>
              <w:spacing w:after="0" w:line="240" w:lineRule="auto"/>
              <w:rPr>
                <w:rFonts w:cs="Calibri"/>
              </w:rPr>
            </w:pPr>
          </w:p>
          <w:p w14:paraId="34DE9BFF" w14:textId="77777777" w:rsidR="009622B2" w:rsidRDefault="009622B2" w:rsidP="009622B2">
            <w:pPr>
              <w:spacing w:after="0" w:line="240" w:lineRule="auto"/>
              <w:rPr>
                <w:rFonts w:cs="Calibri"/>
              </w:rPr>
            </w:pPr>
          </w:p>
          <w:p w14:paraId="3005CA33" w14:textId="3C200EA5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$350 Billion for immigration/border enforcement ($175 Judiciary and $175 Homeland Security)</w:t>
            </w:r>
          </w:p>
          <w:p w14:paraId="692AC265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</w:p>
          <w:p w14:paraId="28707B8D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$150 Billion for additional defense spending</w:t>
            </w:r>
          </w:p>
        </w:tc>
      </w:tr>
      <w:tr w:rsidR="001C37E3" w:rsidRPr="009622B2" w14:paraId="4D5A3307" w14:textId="77777777" w:rsidTr="009622B2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9BC55" w14:textId="77777777" w:rsidR="001C37E3" w:rsidRPr="009622B2" w:rsidRDefault="001C37E3" w:rsidP="009622B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622B2">
              <w:rPr>
                <w:rFonts w:cs="Calibri"/>
                <w:b/>
                <w:bCs/>
              </w:rPr>
              <w:t>What’s included:</w:t>
            </w:r>
            <w:r w:rsidRPr="009622B2">
              <w:rPr>
                <w:rFonts w:cs="Calibri"/>
                <w:b/>
                <w:bCs/>
              </w:rPr>
              <w:br/>
              <w:t>Other</w:t>
            </w:r>
          </w:p>
        </w:tc>
        <w:tc>
          <w:tcPr>
            <w:tcW w:w="3269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0AC9D7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Looks to </w:t>
            </w:r>
            <w:proofErr w:type="gramStart"/>
            <w:r w:rsidRPr="009622B2">
              <w:rPr>
                <w:rFonts w:cs="Calibri"/>
              </w:rPr>
              <w:t>open up</w:t>
            </w:r>
            <w:proofErr w:type="gramEnd"/>
            <w:r w:rsidRPr="009622B2">
              <w:rPr>
                <w:rFonts w:cs="Calibri"/>
              </w:rPr>
              <w:t xml:space="preserve"> more oil and gas drilling.</w:t>
            </w:r>
          </w:p>
          <w:p w14:paraId="74EE2973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Claws back $10 billion in transportation funding, likely from the Inflation Reduction Act.</w:t>
            </w:r>
          </w:p>
          <w:p w14:paraId="1CF4CA9A" w14:textId="77777777" w:rsidR="009622B2" w:rsidRDefault="009622B2" w:rsidP="009622B2">
            <w:pPr>
              <w:spacing w:after="0" w:line="240" w:lineRule="auto"/>
              <w:rPr>
                <w:rFonts w:cs="Calibri"/>
              </w:rPr>
            </w:pPr>
          </w:p>
          <w:p w14:paraId="6FB913A4" w14:textId="748E94F1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Also includes $50 billion in savings from the Oversight committee.</w:t>
            </w:r>
          </w:p>
          <w:p w14:paraId="109CCE77" w14:textId="77777777" w:rsidR="009622B2" w:rsidRDefault="009622B2" w:rsidP="009622B2">
            <w:pPr>
              <w:spacing w:after="0" w:line="240" w:lineRule="auto"/>
              <w:rPr>
                <w:rFonts w:cs="Calibri"/>
              </w:rPr>
            </w:pPr>
          </w:p>
          <w:p w14:paraId="2A3365F4" w14:textId="7B914F51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>Includes $4 Trillion increase to the debt limit</w:t>
            </w:r>
          </w:p>
        </w:tc>
        <w:tc>
          <w:tcPr>
            <w:tcW w:w="29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B005C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Looks to </w:t>
            </w:r>
            <w:proofErr w:type="gramStart"/>
            <w:r w:rsidRPr="009622B2">
              <w:rPr>
                <w:rFonts w:cs="Calibri"/>
              </w:rPr>
              <w:t>open up</w:t>
            </w:r>
            <w:proofErr w:type="gramEnd"/>
            <w:r w:rsidRPr="009622B2">
              <w:rPr>
                <w:rFonts w:cs="Calibri"/>
              </w:rPr>
              <w:t xml:space="preserve"> more oil and gas drilling.</w:t>
            </w:r>
          </w:p>
          <w:p w14:paraId="3CA97E2C" w14:textId="77777777" w:rsidR="001C37E3" w:rsidRPr="009622B2" w:rsidRDefault="001C37E3" w:rsidP="009622B2">
            <w:pPr>
              <w:spacing w:after="0" w:line="240" w:lineRule="auto"/>
              <w:rPr>
                <w:rFonts w:cs="Calibri"/>
              </w:rPr>
            </w:pPr>
            <w:r w:rsidRPr="009622B2">
              <w:rPr>
                <w:rFonts w:cs="Calibri"/>
              </w:rPr>
              <w:t xml:space="preserve">Spends $20 Billion on transportation </w:t>
            </w:r>
          </w:p>
        </w:tc>
      </w:tr>
    </w:tbl>
    <w:p w14:paraId="1864739B" w14:textId="77777777" w:rsidR="001C37E3" w:rsidRPr="009622B2" w:rsidRDefault="001C37E3" w:rsidP="009622B2">
      <w:pPr>
        <w:spacing w:after="0" w:line="240" w:lineRule="auto"/>
        <w:rPr>
          <w:rFonts w:cs="Calibri"/>
        </w:rPr>
      </w:pPr>
    </w:p>
    <w:p w14:paraId="60B3AF8A" w14:textId="77777777" w:rsidR="001C37E3" w:rsidRPr="009622B2" w:rsidRDefault="001C37E3" w:rsidP="009622B2">
      <w:pPr>
        <w:spacing w:after="0" w:line="240" w:lineRule="auto"/>
        <w:rPr>
          <w:rFonts w:cs="Calibri"/>
          <w:b/>
          <w:bCs/>
          <w:u w:val="single"/>
        </w:rPr>
      </w:pPr>
      <w:r w:rsidRPr="009622B2">
        <w:rPr>
          <w:rFonts w:cs="Calibri"/>
          <w:b/>
          <w:bCs/>
          <w:u w:val="single"/>
        </w:rPr>
        <w:t>Additional Resources:</w:t>
      </w:r>
    </w:p>
    <w:p w14:paraId="68621DBE" w14:textId="4F7578D6" w:rsidR="001C37E3" w:rsidRPr="009622B2" w:rsidRDefault="001C37E3" w:rsidP="009622B2">
      <w:pPr>
        <w:spacing w:after="0" w:line="240" w:lineRule="auto"/>
        <w:rPr>
          <w:rFonts w:cs="Calibri"/>
          <w:color w:val="467886" w:themeColor="hyperlink"/>
          <w:u w:val="single"/>
        </w:rPr>
      </w:pPr>
      <w:r w:rsidRPr="009622B2">
        <w:rPr>
          <w:rFonts w:cs="Calibri"/>
        </w:rPr>
        <w:t xml:space="preserve">House Budget Democrats have an EXCELLENT map that lays out the harms of the House plan, by House district: </w:t>
      </w:r>
      <w:hyperlink r:id="rId6" w:history="1">
        <w:r w:rsidRPr="009622B2">
          <w:rPr>
            <w:rStyle w:val="Hyperlink"/>
            <w:rFonts w:cs="Calibri"/>
          </w:rPr>
          <w:t>https://democrats-budget.house.gov/legislation/republican</w:t>
        </w:r>
        <w:r w:rsidRPr="009622B2">
          <w:rPr>
            <w:rStyle w:val="Hyperlink"/>
            <w:rFonts w:cs="Calibri"/>
          </w:rPr>
          <w:t>-</w:t>
        </w:r>
        <w:r w:rsidRPr="009622B2">
          <w:rPr>
            <w:rStyle w:val="Hyperlink"/>
            <w:rFonts w:cs="Calibri"/>
          </w:rPr>
          <w:t>rip-off</w:t>
        </w:r>
      </w:hyperlink>
      <w:r w:rsidRPr="009622B2">
        <w:rPr>
          <w:rFonts w:cs="Calibri"/>
        </w:rPr>
        <w:t xml:space="preserve"> </w:t>
      </w:r>
    </w:p>
    <w:p w14:paraId="171BEF59" w14:textId="77777777" w:rsidR="001C37E3" w:rsidRPr="009622B2" w:rsidRDefault="001C37E3" w:rsidP="009622B2">
      <w:pPr>
        <w:spacing w:after="0" w:line="240" w:lineRule="auto"/>
        <w:rPr>
          <w:rFonts w:cs="Calibri"/>
        </w:rPr>
      </w:pPr>
      <w:r w:rsidRPr="009622B2">
        <w:rPr>
          <w:rFonts w:cs="Calibri"/>
        </w:rPr>
        <w:t xml:space="preserve">Center on Budget and Policy Priorities also has great resources: </w:t>
      </w:r>
      <w:hyperlink r:id="rId7" w:history="1">
        <w:r w:rsidRPr="009622B2">
          <w:rPr>
            <w:rStyle w:val="Hyperlink"/>
            <w:rFonts w:cs="Calibri"/>
          </w:rPr>
          <w:t>https://www.cbpp.org/research/federal-budget/resource-lists/2025-budget-stakes-millions-of-people-across-us-could-lose</w:t>
        </w:r>
      </w:hyperlink>
      <w:r w:rsidRPr="009622B2">
        <w:rPr>
          <w:rFonts w:cs="Calibri"/>
        </w:rPr>
        <w:t xml:space="preserve"> </w:t>
      </w:r>
    </w:p>
    <w:p w14:paraId="57563C14" w14:textId="77777777" w:rsidR="00D841F2" w:rsidRPr="009622B2" w:rsidRDefault="00D841F2" w:rsidP="009622B2">
      <w:pPr>
        <w:spacing w:after="0" w:line="240" w:lineRule="auto"/>
        <w:rPr>
          <w:rFonts w:cs="Calibri"/>
        </w:rPr>
      </w:pPr>
    </w:p>
    <w:p w14:paraId="454D47FB" w14:textId="77777777" w:rsidR="009622B2" w:rsidRPr="009622B2" w:rsidRDefault="009622B2" w:rsidP="009622B2">
      <w:pPr>
        <w:spacing w:after="0" w:line="240" w:lineRule="auto"/>
        <w:rPr>
          <w:rFonts w:cs="Calibri"/>
        </w:rPr>
      </w:pPr>
    </w:p>
    <w:sectPr w:rsidR="009622B2" w:rsidRPr="009622B2" w:rsidSect="009622B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B3BB" w14:textId="77777777" w:rsidR="00534919" w:rsidRDefault="00534919" w:rsidP="009622B2">
      <w:pPr>
        <w:spacing w:after="0" w:line="240" w:lineRule="auto"/>
      </w:pPr>
      <w:r>
        <w:separator/>
      </w:r>
    </w:p>
  </w:endnote>
  <w:endnote w:type="continuationSeparator" w:id="0">
    <w:p w14:paraId="5C4ECC52" w14:textId="77777777" w:rsidR="00534919" w:rsidRDefault="00534919" w:rsidP="0096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6171462"/>
      <w:docPartObj>
        <w:docPartGallery w:val="Page Numbers (Bottom of Page)"/>
        <w:docPartUnique/>
      </w:docPartObj>
    </w:sdtPr>
    <w:sdtContent>
      <w:p w14:paraId="58151BBC" w14:textId="7222141A" w:rsidR="009622B2" w:rsidRDefault="009622B2" w:rsidP="007A01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9AABD" w14:textId="77777777" w:rsidR="009622B2" w:rsidRDefault="009622B2" w:rsidP="009622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0582246"/>
      <w:docPartObj>
        <w:docPartGallery w:val="Page Numbers (Bottom of Page)"/>
        <w:docPartUnique/>
      </w:docPartObj>
    </w:sdtPr>
    <w:sdtContent>
      <w:p w14:paraId="6A404036" w14:textId="36977881" w:rsidR="009622B2" w:rsidRDefault="009622B2" w:rsidP="007A01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664C47" w14:textId="3560FBD6" w:rsidR="009622B2" w:rsidRDefault="009622B2" w:rsidP="009622B2">
    <w:pPr>
      <w:pStyle w:val="Footer"/>
      <w:ind w:right="360"/>
    </w:pPr>
    <w:r>
      <w:t xml:space="preserve">AFT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6DC0" w14:textId="77777777" w:rsidR="00534919" w:rsidRDefault="00534919" w:rsidP="009622B2">
      <w:pPr>
        <w:spacing w:after="0" w:line="240" w:lineRule="auto"/>
      </w:pPr>
      <w:r>
        <w:separator/>
      </w:r>
    </w:p>
  </w:footnote>
  <w:footnote w:type="continuationSeparator" w:id="0">
    <w:p w14:paraId="44171A40" w14:textId="77777777" w:rsidR="00534919" w:rsidRDefault="00534919" w:rsidP="0096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388E" w14:textId="5D24C5CF" w:rsidR="009622B2" w:rsidRDefault="009622B2">
    <w:pPr>
      <w:pStyle w:val="Header"/>
    </w:pPr>
    <w:r>
      <w:t>As of Feb. 22,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E3"/>
    <w:rsid w:val="001C37E3"/>
    <w:rsid w:val="00534919"/>
    <w:rsid w:val="00920BC1"/>
    <w:rsid w:val="009622B2"/>
    <w:rsid w:val="00A63810"/>
    <w:rsid w:val="00C41E3B"/>
    <w:rsid w:val="00D841F2"/>
    <w:rsid w:val="00E1327E"/>
    <w:rsid w:val="00F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35A85"/>
  <w15:chartTrackingRefBased/>
  <w15:docId w15:val="{A6EFBF58-2E3D-A040-9E61-8B7F33E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E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7E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7E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7E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7E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7E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7E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7E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7E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7E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7E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7E3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3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7E3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C3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7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37E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C37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2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2B2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622B2"/>
  </w:style>
  <w:style w:type="character" w:styleId="FollowedHyperlink">
    <w:name w:val="FollowedHyperlink"/>
    <w:basedOn w:val="DefaultParagraphFont"/>
    <w:uiPriority w:val="99"/>
    <w:semiHidden/>
    <w:unhideWhenUsed/>
    <w:rsid w:val="009622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bpp.org/research/federal-budget/resource-lists/2025-budget-stakes-millions-of-people-across-us-could-lo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ocrats-budget.house.gov/legislation/republican-rip-of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Meroney, Legislation</dc:creator>
  <cp:keywords/>
  <dc:description/>
  <cp:lastModifiedBy>jennifer chang</cp:lastModifiedBy>
  <cp:revision>3</cp:revision>
  <dcterms:created xsi:type="dcterms:W3CDTF">2025-02-22T23:09:00Z</dcterms:created>
  <dcterms:modified xsi:type="dcterms:W3CDTF">2025-02-22T23:17:00Z</dcterms:modified>
</cp:coreProperties>
</file>